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国网安徽淮北供电公司2019年发电车并联修理</w:t>
      </w:r>
    </w:p>
    <w:p>
      <w:pPr>
        <w:pStyle w:val="5"/>
        <w:numPr>
          <w:ilvl w:val="0"/>
          <w:numId w:val="0"/>
        </w:numPr>
        <w:spacing w:line="360" w:lineRule="auto"/>
        <w:ind w:leftChars="0"/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技术规范书</w:t>
      </w:r>
    </w:p>
    <w:p>
      <w:pPr>
        <w:pStyle w:val="5"/>
        <w:numPr>
          <w:ilvl w:val="0"/>
          <w:numId w:val="0"/>
        </w:numPr>
        <w:spacing w:line="360" w:lineRule="auto"/>
        <w:ind w:leftChars="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一、概述</w:t>
      </w:r>
    </w:p>
    <w:p>
      <w:pPr>
        <w:spacing w:line="360" w:lineRule="auto"/>
        <w:ind w:firstLine="480" w:firstLineChars="200"/>
        <w:rPr>
          <w:b/>
          <w:sz w:val="28"/>
          <w:szCs w:val="28"/>
        </w:rPr>
      </w:pPr>
      <w:r>
        <w:rPr>
          <w:rFonts w:hint="eastAsia"/>
          <w:sz w:val="24"/>
          <w:szCs w:val="24"/>
          <w:lang w:val="en-US" w:eastAsia="zh-CN"/>
        </w:rPr>
        <w:t>目前淮北供电公司有400kW电源车1辆，200kW电源车1辆，为提高大功率负载保供电能力，现对该2辆电源车进行并机改造，改造后可实现2台电源车并机运行，总额定出600kW，。</w:t>
      </w:r>
      <w:r>
        <w:rPr>
          <w:rFonts w:hint="eastAsia"/>
          <w:sz w:val="28"/>
          <w:szCs w:val="28"/>
          <w:lang w:val="en-US" w:eastAsia="zh-CN"/>
        </w:rPr>
        <w:t>二、</w:t>
      </w:r>
      <w:r>
        <w:rPr>
          <w:rFonts w:hint="eastAsia"/>
          <w:b/>
          <w:sz w:val="28"/>
          <w:szCs w:val="28"/>
        </w:rPr>
        <w:t>应急电源车并机</w:t>
      </w:r>
      <w:r>
        <w:rPr>
          <w:rFonts w:hint="eastAsia"/>
          <w:b/>
          <w:sz w:val="28"/>
          <w:szCs w:val="28"/>
          <w:lang w:eastAsia="zh-CN"/>
        </w:rPr>
        <w:t>技术</w:t>
      </w:r>
      <w:r>
        <w:rPr>
          <w:rFonts w:hint="eastAsia"/>
          <w:b/>
          <w:sz w:val="28"/>
          <w:szCs w:val="28"/>
        </w:rPr>
        <w:t>条件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※</w:t>
      </w:r>
      <w:r>
        <w:rPr>
          <w:rFonts w:hint="eastAsia"/>
          <w:sz w:val="24"/>
          <w:szCs w:val="24"/>
        </w:rPr>
        <w:t>通俗的应急电源车的并机就是两台发电机组同步的过程，同步就是发电机组控制系统中调压板和调速板不断调节的过程。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※</w:t>
      </w:r>
      <w:r>
        <w:rPr>
          <w:rFonts w:hint="eastAsia"/>
          <w:sz w:val="24"/>
          <w:szCs w:val="24"/>
        </w:rPr>
        <w:t>应急电源车并机要求发电机组控制器必须采用同一品牌控制器，才能实现并机和功率分配和管理，最多可以实现32台电源车的并机要求；</w:t>
      </w:r>
    </w:p>
    <w:p>
      <w:pPr>
        <w:pStyle w:val="5"/>
        <w:numPr>
          <w:ilvl w:val="0"/>
          <w:numId w:val="0"/>
        </w:numPr>
        <w:spacing w:line="360" w:lineRule="auto"/>
        <w:ind w:leftChars="0"/>
        <w:rPr>
          <w:b/>
          <w:sz w:val="28"/>
          <w:szCs w:val="28"/>
        </w:rPr>
      </w:pPr>
      <w:r>
        <w:rPr>
          <w:rFonts w:hint="eastAsia"/>
          <w:sz w:val="24"/>
          <w:szCs w:val="24"/>
          <w:lang w:val="en-US" w:eastAsia="zh-CN"/>
        </w:rPr>
        <w:t>三、</w:t>
      </w:r>
      <w:r>
        <w:rPr>
          <w:rFonts w:hint="eastAsia"/>
          <w:b/>
          <w:sz w:val="28"/>
          <w:szCs w:val="28"/>
        </w:rPr>
        <w:t>应急电源车并机功率管理的相关要求</w:t>
      </w:r>
      <w:bookmarkStart w:id="0" w:name="_GoBack"/>
      <w:bookmarkEnd w:id="0"/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发电机组全部处于关机状态；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按下图将所有的接线连接并检查应急电源车接地状态还有机组的油，液等准备状态；</w:t>
      </w:r>
    </w:p>
    <w:p>
      <w:pPr>
        <w:pStyle w:val="5"/>
        <w:spacing w:line="360" w:lineRule="auto"/>
        <w:ind w:left="7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如电源车输出功率较大，需要连接到负载的电缆较多，可以在电源车和负载之间增加一个汇流柜。</w:t>
      </w:r>
    </w:p>
    <w:p>
      <w:pPr>
        <w:pStyle w:val="5"/>
        <w:numPr>
          <w:ilvl w:val="0"/>
          <w:numId w:val="1"/>
        </w:numPr>
        <w:spacing w:line="360" w:lineRule="auto"/>
        <w:ind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机组控制器参数设置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3、1同步/负载控制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3.2</w:t>
      </w:r>
      <w:r>
        <w:rPr>
          <w:rFonts w:ascii="Arial" w:hAnsi="Arial" w:eastAsia="宋体" w:cs="Arial"/>
          <w:color w:val="000000"/>
          <w:kern w:val="24"/>
          <w:sz w:val="24"/>
          <w:szCs w:val="24"/>
        </w:rPr>
        <w:t xml:space="preserve"> </w:t>
      </w:r>
      <w:r>
        <w:rPr>
          <w:sz w:val="24"/>
          <w:szCs w:val="24"/>
        </w:rPr>
        <w:t xml:space="preserve">Volt/PF </w:t>
      </w:r>
      <w:r>
        <w:rPr>
          <w:rFonts w:hint="eastAsia"/>
          <w:sz w:val="24"/>
          <w:szCs w:val="24"/>
        </w:rPr>
        <w:t>控制</w:t>
      </w:r>
      <w:r>
        <w:rPr>
          <w:sz w:val="24"/>
          <w:szCs w:val="24"/>
        </w:rPr>
        <w:t xml:space="preserve"> 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3.3转速控制设置</w:t>
      </w:r>
    </w:p>
    <w:p>
      <w:pPr>
        <w:numPr>
          <w:ilvl w:val="0"/>
          <w:numId w:val="2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开启发动机</w:t>
      </w:r>
      <w:r>
        <w:rPr>
          <w:sz w:val="24"/>
          <w:szCs w:val="24"/>
        </w:rPr>
        <w:t>.</w:t>
      </w:r>
    </w:p>
    <w:p>
      <w:pPr>
        <w:numPr>
          <w:ilvl w:val="0"/>
          <w:numId w:val="3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增加或减少速度偏差参数略确定</w:t>
      </w:r>
      <w:r>
        <w:rPr>
          <w:rFonts w:hint="eastAsia"/>
          <w:b/>
          <w:bCs/>
          <w:sz w:val="24"/>
          <w:szCs w:val="24"/>
        </w:rPr>
        <w:t>调压偏移值</w:t>
      </w:r>
      <w:r>
        <w:rPr>
          <w:rFonts w:hint="eastAsia"/>
          <w:sz w:val="24"/>
          <w:szCs w:val="24"/>
        </w:rPr>
        <w:t>值是否使发动机转速变化。</w:t>
      </w:r>
    </w:p>
    <w:p>
      <w:pPr>
        <w:numPr>
          <w:ilvl w:val="0"/>
          <w:numId w:val="4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检查,当把</w:t>
      </w:r>
      <w:r>
        <w:rPr>
          <w:rFonts w:hint="eastAsia"/>
          <w:b/>
          <w:bCs/>
          <w:sz w:val="24"/>
          <w:szCs w:val="24"/>
        </w:rPr>
        <w:t>调压偏移值</w:t>
      </w:r>
      <w:r>
        <w:rPr>
          <w:rFonts w:hint="eastAsia"/>
          <w:sz w:val="24"/>
          <w:szCs w:val="24"/>
        </w:rPr>
        <w:t>值设置为</w:t>
      </w:r>
      <w:r>
        <w:rPr>
          <w:rFonts w:hint="eastAsia"/>
          <w:b/>
          <w:bCs/>
          <w:sz w:val="24"/>
          <w:szCs w:val="24"/>
        </w:rPr>
        <w:t>调压低限位</w:t>
      </w:r>
      <w:r>
        <w:rPr>
          <w:rFonts w:hint="eastAsia"/>
          <w:sz w:val="24"/>
          <w:szCs w:val="24"/>
        </w:rPr>
        <w:t>的值,发动机转速下降大约5%。否则,更改</w:t>
      </w:r>
      <w:r>
        <w:rPr>
          <w:rFonts w:hint="eastAsia"/>
          <w:b/>
          <w:bCs/>
          <w:sz w:val="24"/>
          <w:szCs w:val="24"/>
        </w:rPr>
        <w:t>调压低限位</w:t>
      </w:r>
      <w:r>
        <w:rPr>
          <w:rFonts w:hint="eastAsia"/>
          <w:sz w:val="24"/>
          <w:szCs w:val="24"/>
        </w:rPr>
        <w:t>参数。</w:t>
      </w:r>
    </w:p>
    <w:p>
      <w:pPr>
        <w:numPr>
          <w:ilvl w:val="0"/>
          <w:numId w:val="5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检查,当把</w:t>
      </w:r>
      <w:r>
        <w:rPr>
          <w:rFonts w:hint="eastAsia"/>
          <w:b/>
          <w:bCs/>
          <w:sz w:val="24"/>
          <w:szCs w:val="24"/>
        </w:rPr>
        <w:t>调压偏移值</w:t>
      </w:r>
      <w:r>
        <w:rPr>
          <w:rFonts w:hint="eastAsia"/>
          <w:sz w:val="24"/>
          <w:szCs w:val="24"/>
        </w:rPr>
        <w:t>值设置为</w:t>
      </w:r>
      <w:r>
        <w:rPr>
          <w:rFonts w:hint="eastAsia"/>
          <w:b/>
          <w:bCs/>
          <w:sz w:val="24"/>
          <w:szCs w:val="24"/>
        </w:rPr>
        <w:t>调压高限位</w:t>
      </w:r>
      <w:r>
        <w:rPr>
          <w:rFonts w:hint="eastAsia"/>
          <w:sz w:val="24"/>
          <w:szCs w:val="24"/>
        </w:rPr>
        <w:t>的价值,发动机转速上升大约5%。否则,更改</w:t>
      </w:r>
      <w:r>
        <w:rPr>
          <w:rFonts w:hint="eastAsia"/>
          <w:b/>
          <w:bCs/>
          <w:sz w:val="24"/>
          <w:szCs w:val="24"/>
        </w:rPr>
        <w:t>调压高限位</w:t>
      </w:r>
      <w:r>
        <w:rPr>
          <w:rFonts w:hint="eastAsia"/>
          <w:sz w:val="24"/>
          <w:szCs w:val="24"/>
        </w:rPr>
        <w:t>参数。</w:t>
      </w:r>
    </w:p>
    <w:p>
      <w:pPr>
        <w:numPr>
          <w:ilvl w:val="0"/>
          <w:numId w:val="6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确保你设置正确性</w:t>
      </w:r>
      <w:r>
        <w:rPr>
          <w:rFonts w:hint="eastAsia"/>
          <w:b/>
          <w:bCs/>
          <w:sz w:val="24"/>
          <w:szCs w:val="24"/>
        </w:rPr>
        <w:t>调压偏移值</w:t>
      </w:r>
      <w:r>
        <w:rPr>
          <w:rFonts w:hint="eastAsia"/>
          <w:sz w:val="24"/>
          <w:szCs w:val="24"/>
        </w:rPr>
        <w:t>值产生50或60HZ。</w:t>
      </w:r>
    </w:p>
    <w:p>
      <w:pPr>
        <w:numPr>
          <w:ilvl w:val="0"/>
          <w:numId w:val="7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关掉发动机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3.4电压控制配置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※</w:t>
      </w:r>
      <w:r>
        <w:rPr>
          <w:rFonts w:hint="eastAsia"/>
          <w:sz w:val="24"/>
          <w:szCs w:val="24"/>
        </w:rPr>
        <w:t>首先,设置IG-AVRi电位计配置。(如果没有信息是可用的,将它设置为最低)；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/>
          <w:sz w:val="24"/>
          <w:szCs w:val="24"/>
        </w:rPr>
        <w:t>※</w:t>
      </w:r>
      <w:r>
        <w:rPr>
          <w:rFonts w:hint="eastAsia"/>
          <w:sz w:val="24"/>
          <w:szCs w:val="24"/>
        </w:rPr>
        <w:t xml:space="preserve">确认 </w:t>
      </w:r>
      <w:r>
        <w:rPr>
          <w:b/>
          <w:bCs/>
          <w:i/>
          <w:iCs/>
          <w:sz w:val="24"/>
          <w:szCs w:val="24"/>
        </w:rPr>
        <w:t>AVRi偏移值</w:t>
      </w:r>
      <w:r>
        <w:rPr>
          <w:rFonts w:hint="eastAsia"/>
          <w:sz w:val="24"/>
          <w:szCs w:val="24"/>
        </w:rPr>
        <w:t>参数为50%。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3.5控制通讯配置</w:t>
      </w:r>
    </w:p>
    <w:p>
      <w:pPr>
        <w:numPr>
          <w:ilvl w:val="0"/>
          <w:numId w:val="8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每个控制器必须有一个唯一的地址。使用参数控制器地址对应这个地址。</w:t>
      </w:r>
    </w:p>
    <w:p>
      <w:pPr>
        <w:pStyle w:val="5"/>
        <w:spacing w:line="360" w:lineRule="auto"/>
        <w:ind w:left="720" w:firstLine="0" w:firstLineChars="0"/>
        <w:rPr>
          <w:sz w:val="24"/>
          <w:szCs w:val="24"/>
        </w:rPr>
      </w:pPr>
      <w:r>
        <w:rPr>
          <w:rFonts w:hint="eastAsia"/>
          <w:sz w:val="24"/>
          <w:szCs w:val="24"/>
        </w:rPr>
        <w:t>所有的控制器也必须被配置为相同的通信速率。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3.6同步和无功负荷的控制参数配置</w:t>
      </w:r>
    </w:p>
    <w:p>
      <w:pPr>
        <w:numPr>
          <w:ilvl w:val="0"/>
          <w:numId w:val="9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配置以下参数</w:t>
      </w:r>
    </w:p>
    <w:p>
      <w:pPr>
        <w:numPr>
          <w:ilvl w:val="1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Voltage Window同步电压允许差: </w:t>
      </w:r>
      <w:r>
        <w:rPr>
          <w:sz w:val="24"/>
          <w:szCs w:val="24"/>
        </w:rPr>
        <w:tab/>
      </w:r>
      <w:r>
        <w:rPr>
          <w:sz w:val="24"/>
          <w:szCs w:val="24"/>
        </w:rPr>
        <w:t>3%</w:t>
      </w:r>
    </w:p>
    <w:p>
      <w:pPr>
        <w:numPr>
          <w:ilvl w:val="1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Phase window同步相角允许差: </w:t>
      </w:r>
      <w:r>
        <w:rPr>
          <w:sz w:val="24"/>
          <w:szCs w:val="24"/>
        </w:rPr>
        <w:tab/>
      </w:r>
      <w:r>
        <w:rPr>
          <w:sz w:val="24"/>
          <w:szCs w:val="24"/>
        </w:rPr>
        <w:t>5°</w:t>
      </w:r>
    </w:p>
    <w:p>
      <w:pPr>
        <w:numPr>
          <w:ilvl w:val="1"/>
          <w:numId w:val="9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Dwell Time同步允许时间: </w:t>
      </w:r>
      <w:r>
        <w:rPr>
          <w:sz w:val="24"/>
          <w:szCs w:val="24"/>
        </w:rPr>
        <w:tab/>
      </w:r>
      <w:r>
        <w:rPr>
          <w:sz w:val="24"/>
          <w:szCs w:val="24"/>
        </w:rPr>
        <w:t>1 秒</w:t>
      </w:r>
    </w:p>
    <w:p>
      <w:pPr>
        <w:numPr>
          <w:ilvl w:val="0"/>
          <w:numId w:val="10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启动发电机 </w:t>
      </w:r>
      <w:r>
        <w:rPr>
          <w:rFonts w:hint="eastAsia"/>
          <w:sz w:val="24"/>
          <w:szCs w:val="24"/>
        </w:rPr>
        <w:br w:type="textWrapping"/>
      </w:r>
      <w:r>
        <w:rPr>
          <w:sz w:val="24"/>
          <w:szCs w:val="24"/>
        </w:rPr>
        <w:t>(首先,必须有电压的母排,或市电电压).</w:t>
      </w:r>
    </w:p>
    <w:p>
      <w:pPr>
        <w:numPr>
          <w:ilvl w:val="0"/>
          <w:numId w:val="11"/>
        </w:num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按GCB按钮开始同步,同步时,断路器闭合.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当GCB是封闭的、细微调整相关的控制回路和其他参数</w:t>
      </w:r>
    </w:p>
    <w:p>
      <w:pPr>
        <w:numPr>
          <w:ilvl w:val="0"/>
          <w:numId w:val="0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四、功率管理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4.1功率管理的概念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/>
          <w:b/>
          <w:bCs/>
          <w:iCs/>
          <w:sz w:val="24"/>
          <w:szCs w:val="24"/>
        </w:rPr>
        <w:t>※</w:t>
      </w:r>
      <w:r>
        <w:rPr>
          <w:rFonts w:hint="eastAsia"/>
          <w:b/>
          <w:bCs/>
          <w:iCs/>
          <w:sz w:val="24"/>
          <w:szCs w:val="24"/>
        </w:rPr>
        <w:t>功率管理</w:t>
      </w:r>
      <w:r>
        <w:rPr>
          <w:b/>
          <w:bCs/>
          <w:sz w:val="24"/>
          <w:szCs w:val="24"/>
        </w:rPr>
        <w:t xml:space="preserve">= </w:t>
      </w:r>
      <w:r>
        <w:rPr>
          <w:rFonts w:hint="eastAsia"/>
          <w:b/>
          <w:bCs/>
          <w:sz w:val="24"/>
          <w:szCs w:val="24"/>
        </w:rPr>
        <w:t>根据负载需求自动启停发动机组；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/>
          <w:b/>
          <w:bCs/>
          <w:iCs/>
          <w:sz w:val="24"/>
          <w:szCs w:val="24"/>
        </w:rPr>
        <w:t>※</w:t>
      </w:r>
      <w:r>
        <w:rPr>
          <w:rFonts w:hint="eastAsia"/>
          <w:sz w:val="24"/>
          <w:szCs w:val="24"/>
        </w:rPr>
        <w:t>负载分配</w:t>
      </w:r>
      <w:r>
        <w:rPr>
          <w:sz w:val="24"/>
          <w:szCs w:val="24"/>
        </w:rPr>
        <w:t xml:space="preserve">: </w:t>
      </w:r>
      <w:r>
        <w:rPr>
          <w:rFonts w:hint="eastAsia"/>
          <w:sz w:val="24"/>
          <w:szCs w:val="24"/>
        </w:rPr>
        <w:t>通过控制器平衡各个机组间负载；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 w:asciiTheme="minorEastAsia" w:hAnsiTheme="minorEastAsia"/>
          <w:b/>
          <w:bCs/>
          <w:iCs/>
          <w:sz w:val="24"/>
          <w:szCs w:val="24"/>
        </w:rPr>
        <w:t>※</w:t>
      </w:r>
      <w:r>
        <w:rPr>
          <w:rFonts w:hint="eastAsia"/>
          <w:sz w:val="24"/>
          <w:szCs w:val="24"/>
        </w:rPr>
        <w:t>功率管理</w:t>
      </w:r>
      <w:r>
        <w:rPr>
          <w:sz w:val="24"/>
          <w:szCs w:val="24"/>
        </w:rPr>
        <w:t xml:space="preserve">: </w:t>
      </w:r>
      <w:r>
        <w:rPr>
          <w:rFonts w:hint="eastAsia"/>
          <w:sz w:val="24"/>
          <w:szCs w:val="24"/>
        </w:rPr>
        <w:t>通过测量计算决定机组的启停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；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4.2功率管理模式</w:t>
      </w:r>
    </w:p>
    <w:p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4.2.1可以进行功率管理模式选择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iCs/>
          <w:sz w:val="24"/>
          <w:szCs w:val="24"/>
        </w:rPr>
        <w:t>※</w:t>
      </w:r>
      <w:r>
        <w:rPr>
          <w:b/>
          <w:bCs/>
          <w:sz w:val="24"/>
          <w:szCs w:val="24"/>
        </w:rPr>
        <w:t>ABS(kW) – 提供足够的功率储备应对负载(</w:t>
      </w:r>
      <w:r>
        <w:rPr>
          <w:rFonts w:hint="eastAsia"/>
          <w:b/>
          <w:bCs/>
          <w:sz w:val="24"/>
          <w:szCs w:val="24"/>
        </w:rPr>
        <w:t>按</w:t>
      </w:r>
      <w:r>
        <w:rPr>
          <w:b/>
          <w:bCs/>
          <w:sz w:val="24"/>
          <w:szCs w:val="24"/>
        </w:rPr>
        <w:t>KW)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 w:asciiTheme="minorEastAsia" w:hAnsiTheme="minorEastAsia"/>
          <w:b/>
          <w:bCs/>
          <w:iCs/>
          <w:sz w:val="24"/>
          <w:szCs w:val="24"/>
        </w:rPr>
        <w:t>※</w:t>
      </w:r>
      <w:r>
        <w:rPr>
          <w:b/>
          <w:bCs/>
          <w:sz w:val="24"/>
          <w:szCs w:val="24"/>
        </w:rPr>
        <w:t>REL(%) – 提供足够的功率储备应对负载 （按%）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4.2.2可以进行优先级选择</w:t>
      </w:r>
    </w:p>
    <w:p>
      <w:pPr>
        <w:spacing w:line="360" w:lineRule="auto"/>
        <w:rPr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4.2.3运行时间的均等化设置</w:t>
      </w:r>
    </w:p>
    <w:p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4.2.4机组最佳运行功率设置</w:t>
      </w:r>
    </w:p>
    <w:p>
      <w:pPr>
        <w:spacing w:line="360" w:lineRule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4.2.</w:t>
      </w:r>
      <w:r>
        <w:rPr>
          <w:rFonts w:hint="eastAsia"/>
          <w:b/>
          <w:bCs/>
          <w:sz w:val="24"/>
          <w:szCs w:val="24"/>
          <w:lang w:val="en-US" w:eastAsia="zh-CN"/>
        </w:rPr>
        <w:t>5</w:t>
      </w:r>
      <w:r>
        <w:rPr>
          <w:rFonts w:hint="eastAsia"/>
          <w:b/>
          <w:bCs/>
          <w:sz w:val="24"/>
          <w:szCs w:val="24"/>
        </w:rPr>
        <w:t>根据负载的不同自动调整电源车车的工作状态包含启停。</w:t>
      </w:r>
    </w:p>
    <w:p>
      <w:pPr>
        <w:tabs>
          <w:tab w:val="left" w:pos="591"/>
        </w:tabs>
        <w:bidi w:val="0"/>
        <w:jc w:val="left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  <w:sectPr>
          <w:pgSz w:w="11906" w:h="16838"/>
          <w:pgMar w:top="1440" w:right="1080" w:bottom="1440" w:left="1080" w:header="851" w:footer="992" w:gutter="0"/>
          <w:cols w:space="425" w:num="1"/>
          <w:docGrid w:type="lines" w:linePitch="312" w:charSpace="0"/>
        </w:sect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ab/>
      </w:r>
    </w:p>
    <w:p>
      <w:pPr>
        <w:numPr>
          <w:ilvl w:val="0"/>
          <w:numId w:val="12"/>
        </w:numPr>
        <w:spacing w:line="360" w:lineRule="auto"/>
        <w:rPr>
          <w:rFonts w:hint="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并机改造节点时间概算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default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由于淮北供电公司有较重的日常保供电任务，此次改造不能影响电源车的正常保供电，保证有2辆电源车牌处于可随时保供电状态，因此对2台电源车采用依次改造的方式，改造地点选在淮北现场进行改造。改造节点时间概算，如下表：</w:t>
      </w:r>
    </w:p>
    <w:tbl>
      <w:tblPr>
        <w:tblStyle w:val="4"/>
        <w:tblW w:w="14070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80"/>
        <w:gridCol w:w="960"/>
        <w:gridCol w:w="1080"/>
        <w:gridCol w:w="795"/>
        <w:gridCol w:w="780"/>
        <w:gridCol w:w="660"/>
        <w:gridCol w:w="1020"/>
        <w:gridCol w:w="1065"/>
        <w:gridCol w:w="915"/>
        <w:gridCol w:w="750"/>
        <w:gridCol w:w="765"/>
        <w:gridCol w:w="930"/>
        <w:gridCol w:w="1050"/>
        <w:gridCol w:w="840"/>
        <w:gridCol w:w="690"/>
        <w:gridCol w:w="69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项目进度</w:t>
            </w:r>
          </w:p>
        </w:tc>
        <w:tc>
          <w:tcPr>
            <w:tcW w:w="427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每1辆</w:t>
            </w:r>
          </w:p>
        </w:tc>
        <w:tc>
          <w:tcPr>
            <w:tcW w:w="451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每2辆</w:t>
            </w:r>
          </w:p>
        </w:tc>
        <w:tc>
          <w:tcPr>
            <w:tcW w:w="420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每3辆（备选）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108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发动机通讯、发动机控制部分线路的改造</w:t>
            </w: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发电机组控制系统、控制器软件编程及调试</w:t>
            </w: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并机模块控制及线路改造</w:t>
            </w: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断路器线路改造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单机系统调试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发动机通讯、发动机控制部分线路的改造</w:t>
            </w: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发电机组控制系统、控制器软件编程及调试</w:t>
            </w: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并机模块控制及线路改造</w:t>
            </w: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断路器线路改造</w:t>
            </w: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单机系统调试</w:t>
            </w: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发动机通讯、发动机控制部分线路的改造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发电机组控制系统、控制器软件编程及调试</w:t>
            </w: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并机模块控制及线路改造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断路器及线路改造</w:t>
            </w: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单机系统调试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8月20日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8月21日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8月22日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8月23日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8月24日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8月25日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8月26日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8月27日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8月28日</w:t>
            </w:r>
          </w:p>
        </w:tc>
        <w:tc>
          <w:tcPr>
            <w:tcW w:w="9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9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8月29日</w:t>
            </w:r>
          </w:p>
        </w:tc>
        <w:tc>
          <w:tcPr>
            <w:tcW w:w="1299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sz w:val="22"/>
                <w:szCs w:val="22"/>
                <w:u w:val="no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2辆电源车并机调试（根据2辆车的空闲时间进行调整）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0" w:hRule="atLeast"/>
        </w:trPr>
        <w:tc>
          <w:tcPr>
            <w:tcW w:w="10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8月30日</w:t>
            </w:r>
          </w:p>
        </w:tc>
        <w:tc>
          <w:tcPr>
            <w:tcW w:w="12990" w:type="dxa"/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ED7D31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并机改造项目验收（根据淮北供电公司要求时间进行调整）</w:t>
            </w:r>
          </w:p>
        </w:tc>
      </w:tr>
    </w:tbl>
    <w:p>
      <w:pPr>
        <w:pStyle w:val="5"/>
        <w:numPr>
          <w:ilvl w:val="0"/>
          <w:numId w:val="0"/>
        </w:numPr>
        <w:spacing w:line="360" w:lineRule="auto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  <w:lang w:val="en-US" w:eastAsia="zh-CN"/>
        </w:rPr>
        <w:t>六、相关要求</w:t>
      </w:r>
    </w:p>
    <w:p>
      <w:pPr>
        <w:pStyle w:val="5"/>
        <w:numPr>
          <w:ilvl w:val="0"/>
          <w:numId w:val="0"/>
        </w:numPr>
        <w:spacing w:line="360" w:lineRule="auto"/>
        <w:ind w:leftChars="0" w:firstLine="840" w:firstLineChars="300"/>
        <w:rPr>
          <w:rFonts w:hint="eastAsia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1、具备发电车生产、改造能力等相关资质、技术要求，提供相关证明文件；</w:t>
      </w:r>
    </w:p>
    <w:p>
      <w:pPr>
        <w:pStyle w:val="5"/>
        <w:numPr>
          <w:ilvl w:val="0"/>
          <w:numId w:val="0"/>
        </w:numPr>
        <w:spacing w:line="360" w:lineRule="auto"/>
        <w:ind w:leftChars="0" w:firstLine="840" w:firstLineChars="300"/>
        <w:rPr>
          <w:rFonts w:hint="default"/>
          <w:b w:val="0"/>
          <w:bCs/>
          <w:sz w:val="28"/>
          <w:szCs w:val="28"/>
          <w:lang w:val="en-US" w:eastAsia="zh-CN"/>
        </w:rPr>
      </w:pPr>
      <w:r>
        <w:rPr>
          <w:rFonts w:hint="eastAsia"/>
          <w:b w:val="0"/>
          <w:bCs/>
          <w:sz w:val="28"/>
          <w:szCs w:val="28"/>
          <w:lang w:val="en-US" w:eastAsia="zh-CN"/>
        </w:rPr>
        <w:t>2、提供安徽省内已改造发电车并联运行的工作报告，提供相关证明文件；</w:t>
      </w:r>
    </w:p>
    <w:sectPr>
      <w:pgSz w:w="16838" w:h="11906" w:orient="landscape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 id="0" type="#_x0000_t75" style="width:23px;height:23px" o:bullet="t">
        <v:imagedata r:id="rId1" o:title=""/>
      </v:shape>
    </w:pict>
  </w:numPicBullet>
  <w:numPicBullet w:numPicBulletId="1">
    <w:pict>
      <v:shape id="1" type="#_x0000_t75" style="width:23px;height:23px" o:bullet="t">
        <v:imagedata r:id="rId2" o:title=""/>
      </v:shape>
    </w:pict>
  </w:numPicBullet>
  <w:numPicBullet w:numPicBulletId="2">
    <w:pict>
      <v:shape id="2" type="#_x0000_t75" style="width:23px;height:23px" o:bullet="t">
        <v:imagedata r:id="rId3" o:title=""/>
      </v:shape>
    </w:pict>
  </w:numPicBullet>
  <w:numPicBullet w:numPicBulletId="3">
    <w:pict>
      <v:shape id="3" type="#_x0000_t75" style="width:23px;height:23px" o:bullet="t">
        <v:imagedata r:id="rId4" o:title=""/>
      </v:shape>
    </w:pict>
  </w:numPicBullet>
  <w:numPicBullet w:numPicBulletId="4">
    <w:pict>
      <v:shape id="4" type="#_x0000_t75" style="width:23px;height:23px" o:bullet="t">
        <v:imagedata r:id="rId5" o:title=""/>
      </v:shape>
    </w:pict>
  </w:numPicBullet>
  <w:numPicBullet w:numPicBulletId="5">
    <w:pict>
      <v:shape id="5" type="#_x0000_t75" style="width:23px;height:23px" o:bullet="t">
        <v:imagedata r:id="rId6" o:title=""/>
      </v:shape>
    </w:pict>
  </w:numPicBullet>
  <w:numPicBullet w:numPicBulletId="6">
    <w:pict>
      <v:shape id="6" type="#_x0000_t75" style="width:23px;height:23px" o:bullet="t">
        <v:imagedata r:id="rId7" o:title=""/>
      </v:shape>
    </w:pict>
  </w:numPicBullet>
  <w:numPicBullet w:numPicBulletId="7">
    <w:pict>
      <v:shape id="7" type="#_x0000_t75" style="width:23px;height:23px" o:bullet="t">
        <v:imagedata r:id="rId8" o:title=""/>
      </v:shape>
    </w:pict>
  </w:numPicBullet>
  <w:numPicBullet w:numPicBulletId="8">
    <w:pict>
      <v:shape id="8" type="#_x0000_t75" style="width:23px;height:23px" o:bullet="t">
        <v:imagedata r:id="rId9" o:title=""/>
      </v:shape>
    </w:pict>
  </w:numPicBullet>
  <w:numPicBullet w:numPicBulletId="9">
    <w:pict>
      <v:shape id="9" type="#_x0000_t75" style="width:23px;height:23px" o:bullet="t">
        <v:imagedata r:id="rId10" o:title=""/>
      </v:shape>
    </w:pict>
  </w:numPicBullet>
  <w:numPicBullet w:numPicBulletId="10">
    <w:pict>
      <v:shape id="10" type="#_x0000_t75" style="width:23px;height:23px" o:bullet="t">
        <v:imagedata r:id="rId11" o:title=""/>
      </v:shape>
    </w:pict>
  </w:numPicBullet>
  <w:numPicBullet w:numPicBulletId="11">
    <w:pict>
      <v:shape id="11" type="#_x0000_t75" style="width:23px;height:23px" o:bullet="t">
        <v:imagedata r:id="rId12" o:title=""/>
      </v:shape>
    </w:pict>
  </w:numPicBullet>
  <w:numPicBullet w:numPicBulletId="12">
    <w:pict>
      <v:shape id="12" type="#_x0000_t75" style="width:23px;height:23px" o:bullet="t">
        <v:imagedata r:id="rId13" o:title=""/>
      </v:shape>
    </w:pict>
  </w:numPicBullet>
  <w:numPicBullet w:numPicBulletId="13">
    <w:pict>
      <v:shape id="13" type="#_x0000_t75" style="width:23px;height:23px" o:bullet="t">
        <v:imagedata r:id="rId14" o:title=""/>
      </v:shape>
    </w:pict>
  </w:numPicBullet>
  <w:numPicBullet w:numPicBulletId="14">
    <w:pict>
      <v:shape id="14" type="#_x0000_t75" style="width:23px;height:23px" o:bullet="t">
        <v:imagedata r:id="rId15" o:title=""/>
      </v:shape>
    </w:pict>
  </w:numPicBullet>
  <w:numPicBullet w:numPicBulletId="15">
    <w:pict>
      <v:shape id="15" type="#_x0000_t75" style="width:23px;height:23px" o:bullet="t">
        <v:imagedata r:id="rId16" o:title=""/>
      </v:shape>
    </w:pict>
  </w:numPicBullet>
  <w:numPicBullet w:numPicBulletId="16">
    <w:pict>
      <v:shape id="16" type="#_x0000_t75" style="width:23px;height:23px" o:bullet="t">
        <v:imagedata r:id="rId17" o:title=""/>
      </v:shape>
    </w:pict>
  </w:numPicBullet>
  <w:numPicBullet w:numPicBulletId="17">
    <w:pict>
      <v:shape id="17" type="#_x0000_t75" style="width:23px;height:23px" o:bullet="t">
        <v:imagedata r:id="rId18" o:title=""/>
      </v:shape>
    </w:pict>
  </w:numPicBullet>
  <w:numPicBullet w:numPicBulletId="18">
    <w:pict>
      <v:shape id="18" type="#_x0000_t75" style="width:23px;height:23px" o:bullet="t">
        <v:imagedata r:id="rId19" o:title=""/>
      </v:shape>
    </w:pict>
  </w:numPicBullet>
  <w:numPicBullet w:numPicBulletId="19">
    <w:pict>
      <v:shape id="19" type="#_x0000_t75" style="width:23px;height:23px" o:bullet="t">
        <v:imagedata r:id="rId20" o:title=""/>
      </v:shape>
    </w:pict>
  </w:numPicBullet>
  <w:numPicBullet w:numPicBulletId="20">
    <w:pict>
      <v:shape id="20" type="#_x0000_t75" style="width:23px;height:23px" o:bullet="t">
        <v:imagedata r:id="rId21" o:title=""/>
      </v:shape>
    </w:pict>
  </w:numPicBullet>
  <w:numPicBullet w:numPicBulletId="21">
    <w:pict>
      <v:shape id="21" type="#_x0000_t75" style="width:23px;height:23px" o:bullet="t">
        <v:imagedata r:id="rId22" o:title=""/>
      </v:shape>
    </w:pict>
  </w:numPicBullet>
  <w:numPicBullet w:numPicBulletId="22">
    <w:pict>
      <v:shape id="22" type="#_x0000_t75" style="width:23px;height:23px" o:bullet="t">
        <v:imagedata r:id="rId23" o:title=""/>
      </v:shape>
    </w:pict>
  </w:numPicBullet>
  <w:numPicBullet w:numPicBulletId="23">
    <w:pict>
      <v:shape id="23" type="#_x0000_t75" style="width:23px;height:23px" o:bullet="t">
        <v:imagedata r:id="rId24" o:title=""/>
      </v:shape>
    </w:pict>
  </w:numPicBullet>
  <w:numPicBullet w:numPicBulletId="24">
    <w:pict>
      <v:shape id="24" type="#_x0000_t75" style="width:23px;height:23px" o:bullet="t">
        <v:imagedata r:id="rId25" o:title=""/>
      </v:shape>
    </w:pict>
  </w:numPicBullet>
  <w:numPicBullet w:numPicBulletId="25">
    <w:pict>
      <v:shape id="25" type="#_x0000_t75" style="width:23px;height:23px" o:bullet="t">
        <v:imagedata r:id="rId26" o:title=""/>
      </v:shape>
    </w:pict>
  </w:numPicBullet>
  <w:numPicBullet w:numPicBulletId="26">
    <w:pict>
      <v:shape id="26" type="#_x0000_t75" style="width:23px;height:23px" o:bullet="t">
        <v:imagedata r:id="rId27" o:title=""/>
      </v:shape>
    </w:pict>
  </w:numPicBullet>
  <w:numPicBullet w:numPicBulletId="27">
    <w:pict>
      <v:shape id="27" type="#_x0000_t75" style="width:23px;height:23px" o:bullet="t">
        <v:imagedata r:id="rId28" o:title=""/>
      </v:shape>
    </w:pict>
  </w:numPicBullet>
  <w:numPicBullet w:numPicBulletId="28">
    <w:pict>
      <v:shape id="28" type="#_x0000_t75" style="width:23px;height:23px" o:bullet="t">
        <v:imagedata r:id="rId29" o:title=""/>
      </v:shape>
    </w:pict>
  </w:numPicBullet>
  <w:numPicBullet w:numPicBulletId="29">
    <w:pict>
      <v:shape id="29" type="#_x0000_t75" style="width:23px;height:23px" o:bullet="t">
        <v:imagedata r:id="rId30" o:title=""/>
      </v:shape>
    </w:pict>
  </w:numPicBullet>
  <w:numPicBullet w:numPicBulletId="30">
    <w:pict>
      <v:shape id="30" type="#_x0000_t75" style="width:23px;height:23px" o:bullet="t">
        <v:imagedata r:id="rId31" o:title=""/>
      </v:shape>
    </w:pict>
  </w:numPicBullet>
  <w:numPicBullet w:numPicBulletId="31">
    <w:pict>
      <v:shape id="31" type="#_x0000_t75" style="width:23px;height:23px" o:bullet="t">
        <v:imagedata r:id="rId32" o:title=""/>
      </v:shape>
    </w:pict>
  </w:numPicBullet>
  <w:numPicBullet w:numPicBulletId="32">
    <w:pict>
      <v:shape id="32" type="#_x0000_t75" style="width:23px;height:23px" o:bullet="t">
        <v:imagedata r:id="rId33" o:title=""/>
      </v:shape>
    </w:pict>
  </w:numPicBullet>
  <w:numPicBullet w:numPicBulletId="33">
    <w:pict>
      <v:shape id="33" type="#_x0000_t75" style="width:23px;height:23px" o:bullet="t">
        <v:imagedata r:id="rId34" o:title=""/>
      </v:shape>
    </w:pict>
  </w:numPicBullet>
  <w:numPicBullet w:numPicBulletId="34">
    <w:pict>
      <v:shape id="34" type="#_x0000_t75" style="width:23px;height:23px" o:bullet="t">
        <v:imagedata r:id="rId35" o:title=""/>
      </v:shape>
    </w:pict>
  </w:numPicBullet>
  <w:numPicBullet w:numPicBulletId="35">
    <w:pict>
      <v:shape id="35" type="#_x0000_t75" style="width:23px;height:23px" o:bullet="t">
        <v:imagedata r:id="rId36" o:title=""/>
      </v:shape>
    </w:pict>
  </w:numPicBullet>
  <w:numPicBullet w:numPicBulletId="36">
    <w:pict>
      <v:shape id="36" type="#_x0000_t75" style="width:23px;height:23px" o:bullet="t">
        <v:imagedata r:id="rId37" o:title=""/>
      </v:shape>
    </w:pict>
  </w:numPicBullet>
  <w:numPicBullet w:numPicBulletId="37">
    <w:pict>
      <v:shape id="37" type="#_x0000_t75" style="width:23px;height:23px" o:bullet="t">
        <v:imagedata r:id="rId38" o:title=""/>
      </v:shape>
    </w:pict>
  </w:numPicBullet>
  <w:numPicBullet w:numPicBulletId="38">
    <w:pict>
      <v:shape id="38" type="#_x0000_t75" style="width:23px;height:23px" o:bullet="t">
        <v:imagedata r:id="rId39" o:title=""/>
      </v:shape>
    </w:pict>
  </w:numPicBullet>
  <w:numPicBullet w:numPicBulletId="39">
    <w:pict>
      <v:shape id="39" type="#_x0000_t75" style="width:23px;height:23px" o:bullet="t">
        <v:imagedata r:id="rId40" o:title=""/>
      </v:shape>
    </w:pict>
  </w:numPicBullet>
  <w:numPicBullet w:numPicBulletId="40">
    <w:pict>
      <v:shape id="40" type="#_x0000_t75" style="width:23px;height:23px" o:bullet="t">
        <v:imagedata r:id="rId41" o:title=""/>
      </v:shape>
    </w:pict>
  </w:numPicBullet>
  <w:numPicBullet w:numPicBulletId="41">
    <w:pict>
      <v:shape id="41" type="#_x0000_t75" style="width:23px;height:23px" o:bullet="t">
        <v:imagedata r:id="rId42" o:title=""/>
      </v:shape>
    </w:pict>
  </w:numPicBullet>
  <w:numPicBullet w:numPicBulletId="42">
    <w:pict>
      <v:shape id="42" type="#_x0000_t75" style="width:23px;height:23px" o:bullet="t">
        <v:imagedata r:id="rId43" o:title=""/>
      </v:shape>
    </w:pict>
  </w:numPicBullet>
  <w:numPicBullet w:numPicBulletId="43">
    <w:pict>
      <v:shape id="43" type="#_x0000_t75" style="width:23px;height:23px" o:bullet="t">
        <v:imagedata r:id="rId44" o:title=""/>
      </v:shape>
    </w:pict>
  </w:numPicBullet>
  <w:numPicBullet w:numPicBulletId="44">
    <w:pict>
      <v:shape id="44" type="#_x0000_t75" style="width:23px;height:23px" o:bullet="t">
        <v:imagedata r:id="rId45" o:title=""/>
      </v:shape>
    </w:pict>
  </w:numPicBullet>
  <w:numPicBullet w:numPicBulletId="45">
    <w:pict>
      <v:shape id="45" type="#_x0000_t75" style="width:23px;height:23px" o:bullet="t">
        <v:imagedata r:id="rId46" o:title=""/>
      </v:shape>
    </w:pict>
  </w:numPicBullet>
  <w:numPicBullet w:numPicBulletId="46">
    <w:pict>
      <v:shape id="46" type="#_x0000_t75" style="width:23px;height:23px" o:bullet="t">
        <v:imagedata r:id="rId47" o:title=""/>
      </v:shape>
    </w:pict>
  </w:numPicBullet>
  <w:numPicBullet w:numPicBulletId="47">
    <w:pict>
      <v:shape id="47" type="#_x0000_t75" style="width:23px;height:23px" o:bullet="t">
        <v:imagedata r:id="rId48" o:title=""/>
      </v:shape>
    </w:pict>
  </w:numPicBullet>
  <w:numPicBullet w:numPicBulletId="48">
    <w:pict>
      <v:shape id="48" type="#_x0000_t75" style="width:23px;height:23px" o:bullet="t">
        <v:imagedata r:id="rId49" o:title=""/>
      </v:shape>
    </w:pict>
  </w:numPicBullet>
  <w:numPicBullet w:numPicBulletId="49">
    <w:pict>
      <v:shape id="49" type="#_x0000_t75" style="width:23px;height:23px" o:bullet="t">
        <v:imagedata r:id="rId50" o:title=""/>
      </v:shape>
    </w:pict>
  </w:numPicBullet>
  <w:numPicBullet w:numPicBulletId="50">
    <w:pict>
      <v:shape id="50" type="#_x0000_t75" style="width:23px;height:23px" o:bullet="t">
        <v:imagedata r:id="rId51" o:title=""/>
      </v:shape>
    </w:pict>
  </w:numPicBullet>
  <w:numPicBullet w:numPicBulletId="51">
    <w:pict>
      <v:shape id="51" type="#_x0000_t75" style="width:23px;height:23px" o:bullet="t">
        <v:imagedata r:id="rId52" o:title=""/>
      </v:shape>
    </w:pict>
  </w:numPicBullet>
  <w:numPicBullet w:numPicBulletId="52">
    <w:pict>
      <v:shape id="52" type="#_x0000_t75" style="width:23px;height:23px" o:bullet="t">
        <v:imagedata r:id="rId53" o:title=""/>
      </v:shape>
    </w:pict>
  </w:numPicBullet>
  <w:numPicBullet w:numPicBulletId="53">
    <w:pict>
      <v:shape id="53" type="#_x0000_t75" style="width:23px;height:23px" o:bullet="t">
        <v:imagedata r:id="rId54" o:title=""/>
      </v:shape>
    </w:pict>
  </w:numPicBullet>
  <w:numPicBullet w:numPicBulletId="54">
    <w:pict>
      <v:shape id="54" type="#_x0000_t75" style="width:23px;height:23px" o:bullet="t">
        <v:imagedata r:id="rId55" o:title=""/>
      </v:shape>
    </w:pict>
  </w:numPicBullet>
  <w:numPicBullet w:numPicBulletId="55">
    <w:pict>
      <v:shape id="55" type="#_x0000_t75" style="width:23px;height:23px" o:bullet="t">
        <v:imagedata r:id="rId56" o:title=""/>
      </v:shape>
    </w:pict>
  </w:numPicBullet>
  <w:numPicBullet w:numPicBulletId="56">
    <w:pict>
      <v:shape id="56" type="#_x0000_t75" style="width:23px;height:23px" o:bullet="t">
        <v:imagedata r:id="rId57" o:title=""/>
      </v:shape>
    </w:pict>
  </w:numPicBullet>
  <w:numPicBullet w:numPicBulletId="57">
    <w:pict>
      <v:shape id="57" type="#_x0000_t75" style="width:23px;height:23px" o:bullet="t">
        <v:imagedata r:id="rId58" o:title=""/>
      </v:shape>
    </w:pict>
  </w:numPicBullet>
  <w:numPicBullet w:numPicBulletId="58">
    <w:pict>
      <v:shape id="58" type="#_x0000_t75" style="width:23px;height:23px" o:bullet="t">
        <v:imagedata r:id="rId59" o:title=""/>
      </v:shape>
    </w:pict>
  </w:numPicBullet>
  <w:numPicBullet w:numPicBulletId="59">
    <w:pict>
      <v:shape id="59" type="#_x0000_t75" style="width:23px;height:23px" o:bullet="t">
        <v:imagedata r:id="rId60" o:title=""/>
      </v:shape>
    </w:pict>
  </w:numPicBullet>
  <w:numPicBullet w:numPicBulletId="60">
    <w:pict>
      <v:shape id="60" type="#_x0000_t75" style="width:23px;height:23px" o:bullet="t">
        <v:imagedata r:id="rId61" o:title=""/>
      </v:shape>
    </w:pict>
  </w:numPicBullet>
  <w:numPicBullet w:numPicBulletId="61">
    <w:pict>
      <v:shape id="61" type="#_x0000_t75" style="width:23px;height:23px" o:bullet="t">
        <v:imagedata r:id="rId62" o:title=""/>
      </v:shape>
    </w:pict>
  </w:numPicBullet>
  <w:numPicBullet w:numPicBulletId="62">
    <w:pict>
      <v:shape id="62" type="#_x0000_t75" style="width:23px;height:23px" o:bullet="t">
        <v:imagedata r:id="rId63" o:title=""/>
      </v:shape>
    </w:pict>
  </w:numPicBullet>
  <w:numPicBullet w:numPicBulletId="63">
    <w:pict>
      <v:shape id="63" type="#_x0000_t75" style="width:23px;height:23px" o:bullet="t">
        <v:imagedata r:id="rId64" o:title=""/>
      </v:shape>
    </w:pict>
  </w:numPicBullet>
  <w:numPicBullet w:numPicBulletId="64">
    <w:pict>
      <v:shape id="64" type="#_x0000_t75" style="width:23px;height:23px" o:bullet="t">
        <v:imagedata r:id="rId65" o:title=""/>
      </v:shape>
    </w:pict>
  </w:numPicBullet>
  <w:numPicBullet w:numPicBulletId="65">
    <w:pict>
      <v:shape id="65" type="#_x0000_t75" style="width:23px;height:23px" o:bullet="t">
        <v:imagedata r:id="rId66" o:title=""/>
      </v:shape>
    </w:pict>
  </w:numPicBullet>
  <w:numPicBullet w:numPicBulletId="66">
    <w:pict>
      <v:shape id="66" type="#_x0000_t75" style="width:23px;height:23px" o:bullet="t">
        <v:imagedata r:id="rId67" o:title=""/>
      </v:shape>
    </w:pict>
  </w:numPicBullet>
  <w:numPicBullet w:numPicBulletId="67">
    <w:pict>
      <v:shape id="67" type="#_x0000_t75" style="width:23px;height:23px" o:bullet="t">
        <v:imagedata r:id="rId68" o:title=""/>
      </v:shape>
    </w:pict>
  </w:numPicBullet>
  <w:numPicBullet w:numPicBulletId="68">
    <w:pict>
      <v:shape id="68" type="#_x0000_t75" style="width:23px;height:23px" o:bullet="t">
        <v:imagedata r:id="rId69" o:title=""/>
      </v:shape>
    </w:pict>
  </w:numPicBullet>
  <w:numPicBullet w:numPicBulletId="69">
    <w:pict>
      <v:shape id="69" type="#_x0000_t75" style="width:23px;height:23px" o:bullet="t">
        <v:imagedata r:id="rId70" o:title=""/>
      </v:shape>
    </w:pict>
  </w:numPicBullet>
  <w:numPicBullet w:numPicBulletId="70">
    <w:pict>
      <v:shape id="70" type="#_x0000_t75" style="width:23px;height:23px" o:bullet="t">
        <v:imagedata r:id="rId71" o:title=""/>
      </v:shape>
    </w:pict>
  </w:numPicBullet>
  <w:numPicBullet w:numPicBulletId="71">
    <w:pict>
      <v:shape id="71" type="#_x0000_t75" style="width:23px;height:23px" o:bullet="t">
        <v:imagedata r:id="rId72" o:title=""/>
      </v:shape>
    </w:pict>
  </w:numPicBullet>
  <w:numPicBullet w:numPicBulletId="72">
    <w:pict>
      <v:shape id="72" type="#_x0000_t75" style="width:23px;height:23px" o:bullet="t">
        <v:imagedata r:id="rId73" o:title=""/>
      </v:shape>
    </w:pict>
  </w:numPicBullet>
  <w:numPicBullet w:numPicBulletId="73">
    <w:pict>
      <v:shape id="73" type="#_x0000_t75" style="width:23px;height:23px" o:bullet="t">
        <v:imagedata r:id="rId74" o:title=""/>
      </v:shape>
    </w:pict>
  </w:numPicBullet>
  <w:numPicBullet w:numPicBulletId="74">
    <w:pict>
      <v:shape id="74" type="#_x0000_t75" style="width:23px;height:23px" o:bullet="t">
        <v:imagedata r:id="rId75" o:title=""/>
      </v:shape>
    </w:pict>
  </w:numPicBullet>
  <w:numPicBullet w:numPicBulletId="75">
    <w:pict>
      <v:shape id="75" type="#_x0000_t75" style="width:23px;height:23px" o:bullet="t">
        <v:imagedata r:id="rId76" o:title=""/>
      </v:shape>
    </w:pict>
  </w:numPicBullet>
  <w:numPicBullet w:numPicBulletId="76">
    <w:pict>
      <v:shape id="76" type="#_x0000_t75" style="width:23px;height:23px" o:bullet="t">
        <v:imagedata r:id="rId77" o:title=""/>
      </v:shape>
    </w:pict>
  </w:numPicBullet>
  <w:numPicBullet w:numPicBulletId="77">
    <w:pict>
      <v:shape id="77" type="#_x0000_t75" style="width:23px;height:23px" o:bullet="t">
        <v:imagedata r:id="rId78" o:title=""/>
      </v:shape>
    </w:pict>
  </w:numPicBullet>
  <w:numPicBullet w:numPicBulletId="78">
    <w:pict>
      <v:shape id="78" type="#_x0000_t75" style="width:23px;height:23px" o:bullet="t">
        <v:imagedata r:id="rId79" o:title=""/>
      </v:shape>
    </w:pict>
  </w:numPicBullet>
  <w:numPicBullet w:numPicBulletId="79">
    <w:pict>
      <v:shape id="79" type="#_x0000_t75" style="width:23px;height:23px" o:bullet="t">
        <v:imagedata r:id="rId80" o:title=""/>
      </v:shape>
    </w:pict>
  </w:numPicBullet>
  <w:numPicBullet w:numPicBulletId="80">
    <w:pict>
      <v:shape id="80" type="#_x0000_t75" style="width:23px;height:23px" o:bullet="t">
        <v:imagedata r:id="rId81" o:title=""/>
      </v:shape>
    </w:pict>
  </w:numPicBullet>
  <w:numPicBullet w:numPicBulletId="81">
    <w:pict>
      <v:shape id="81" type="#_x0000_t75" style="width:23px;height:23px" o:bullet="t">
        <v:imagedata r:id="rId82" o:title=""/>
      </v:shape>
    </w:pict>
  </w:numPicBullet>
  <w:numPicBullet w:numPicBulletId="82">
    <w:pict>
      <v:shape id="82" type="#_x0000_t75" style="width:23px;height:23px" o:bullet="t">
        <v:imagedata r:id="rId83" o:title=""/>
      </v:shape>
    </w:pict>
  </w:numPicBullet>
  <w:numPicBullet w:numPicBulletId="83">
    <w:pict>
      <v:shape id="83" type="#_x0000_t75" style="width:23px;height:23px" o:bullet="t">
        <v:imagedata r:id="rId84" o:title=""/>
      </v:shape>
    </w:pict>
  </w:numPicBullet>
  <w:numPicBullet w:numPicBulletId="84">
    <w:pict>
      <v:shape id="84" type="#_x0000_t75" style="width:23px;height:23px" o:bullet="t">
        <v:imagedata r:id="rId85" o:title=""/>
      </v:shape>
    </w:pict>
  </w:numPicBullet>
  <w:numPicBullet w:numPicBulletId="85">
    <w:pict>
      <v:shape id="85" type="#_x0000_t75" style="width:23px;height:23px" o:bullet="t">
        <v:imagedata r:id="rId86" o:title=""/>
      </v:shape>
    </w:pict>
  </w:numPicBullet>
  <w:numPicBullet w:numPicBulletId="86">
    <w:pict>
      <v:shape id="86" type="#_x0000_t75" style="width:23px;height:23px" o:bullet="t">
        <v:imagedata r:id="rId87" o:title=""/>
      </v:shape>
    </w:pict>
  </w:numPicBullet>
  <w:numPicBullet w:numPicBulletId="87">
    <w:pict>
      <v:shape id="87" type="#_x0000_t75" style="width:23px;height:23px" o:bullet="t">
        <v:imagedata r:id="rId88" o:title=""/>
      </v:shape>
    </w:pict>
  </w:numPicBullet>
  <w:numPicBullet w:numPicBulletId="88">
    <w:pict>
      <v:shape id="88" type="#_x0000_t75" style="width:23px;height:23px" o:bullet="t">
        <v:imagedata r:id="rId89" o:title=""/>
      </v:shape>
    </w:pict>
  </w:numPicBullet>
  <w:numPicBullet w:numPicBulletId="89">
    <w:pict>
      <v:shape id="89" type="#_x0000_t75" style="width:23px;height:23px" o:bullet="t">
        <v:imagedata r:id="rId90" o:title=""/>
      </v:shape>
    </w:pict>
  </w:numPicBullet>
  <w:abstractNum w:abstractNumId="0">
    <w:nsid w:val="039C32D4"/>
    <w:multiLevelType w:val="multilevel"/>
    <w:tmpl w:val="039C32D4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9FB0250"/>
    <w:multiLevelType w:val="multilevel"/>
    <w:tmpl w:val="09FB0250"/>
    <w:lvl w:ilvl="0" w:tentative="0">
      <w:start w:val="1"/>
      <w:numFmt w:val="bullet"/>
      <w:lvlText w:val=""/>
      <w:lvlPicBulletId w:val="18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PicBulletId w:val="19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PicBulletId w:val="20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PicBulletId w:val="21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PicBulletId w:val="22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PicBulletId w:val="23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PicBulletId w:val="24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PicBulletId w:val="25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PicBulletId w:val="26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2">
    <w:nsid w:val="138C5A89"/>
    <w:multiLevelType w:val="singleLevel"/>
    <w:tmpl w:val="138C5A89"/>
    <w:lvl w:ilvl="0" w:tentative="0">
      <w:start w:val="5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2336134E"/>
    <w:multiLevelType w:val="multilevel"/>
    <w:tmpl w:val="2336134E"/>
    <w:lvl w:ilvl="0" w:tentative="0">
      <w:start w:val="1"/>
      <w:numFmt w:val="bullet"/>
      <w:lvlText w:val=""/>
      <w:lvlPicBulletId w:val="63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2284"/>
      <w:numFmt w:val="bullet"/>
      <w:lvlText w:val=""/>
      <w:lvlPicBulletId w:val="64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PicBulletId w:val="65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PicBulletId w:val="66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PicBulletId w:val="67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PicBulletId w:val="68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PicBulletId w:val="69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PicBulletId w:val="70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PicBulletId w:val="71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4">
    <w:nsid w:val="31A306E8"/>
    <w:multiLevelType w:val="multilevel"/>
    <w:tmpl w:val="31A306E8"/>
    <w:lvl w:ilvl="0" w:tentative="0">
      <w:start w:val="1"/>
      <w:numFmt w:val="bullet"/>
      <w:lvlText w:val=""/>
      <w:lvlPicBulletId w:val="9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PicBulletId w:val="10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PicBulletId w:val="11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PicBulletId w:val="12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PicBulletId w:val="13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PicBulletId w:val="14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PicBulletId w:val="15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PicBulletId w:val="16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PicBulletId w:val="17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5">
    <w:nsid w:val="4AC65268"/>
    <w:multiLevelType w:val="multilevel"/>
    <w:tmpl w:val="4AC65268"/>
    <w:lvl w:ilvl="0" w:tentative="0">
      <w:start w:val="1"/>
      <w:numFmt w:val="bullet"/>
      <w:lvlText w:val=""/>
      <w:lvlPicBulletId w:val="45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PicBulletId w:val="46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PicBulletId w:val="47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PicBulletId w:val="48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PicBulletId w:val="49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PicBulletId w:val="50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PicBulletId w:val="51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PicBulletId w:val="52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PicBulletId w:val="53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6">
    <w:nsid w:val="57AB13D2"/>
    <w:multiLevelType w:val="multilevel"/>
    <w:tmpl w:val="57AB13D2"/>
    <w:lvl w:ilvl="0" w:tentative="0">
      <w:start w:val="1"/>
      <w:numFmt w:val="bullet"/>
      <w:lvlText w:val=""/>
      <w:lvlPicBulletId w:val="27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PicBulletId w:val="28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PicBulletId w:val="29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PicBulletId w:val="30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PicBulletId w:val="31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PicBulletId w:val="32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PicBulletId w:val="33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PicBulletId w:val="34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PicBulletId w:val="35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7">
    <w:nsid w:val="57F46F71"/>
    <w:multiLevelType w:val="multilevel"/>
    <w:tmpl w:val="57F46F71"/>
    <w:lvl w:ilvl="0" w:tentative="0">
      <w:start w:val="1"/>
      <w:numFmt w:val="bullet"/>
      <w:lvlText w:val=""/>
      <w:lvlPicBulletId w:val="72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PicBulletId w:val="73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PicBulletId w:val="74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PicBulletId w:val="75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PicBulletId w:val="76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PicBulletId w:val="77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PicBulletId w:val="78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PicBulletId w:val="79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PicBulletId w:val="80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8">
    <w:nsid w:val="60F61436"/>
    <w:multiLevelType w:val="multilevel"/>
    <w:tmpl w:val="60F61436"/>
    <w:lvl w:ilvl="0" w:tentative="0">
      <w:start w:val="1"/>
      <w:numFmt w:val="bullet"/>
      <w:lvlText w:val=""/>
      <w:lvlPicBulletId w:val="0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PicBulletId w:val="1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PicBulletId w:val="2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PicBulletId w:val="3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PicBulletId w:val="4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PicBulletId w:val="5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PicBulletId w:val="6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PicBulletId w:val="7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PicBulletId w:val="8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9">
    <w:nsid w:val="68E15206"/>
    <w:multiLevelType w:val="multilevel"/>
    <w:tmpl w:val="68E15206"/>
    <w:lvl w:ilvl="0" w:tentative="0">
      <w:start w:val="1"/>
      <w:numFmt w:val="bullet"/>
      <w:lvlText w:val=""/>
      <w:lvlPicBulletId w:val="36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PicBulletId w:val="37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PicBulletId w:val="38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PicBulletId w:val="39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PicBulletId w:val="40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PicBulletId w:val="41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PicBulletId w:val="42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PicBulletId w:val="43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PicBulletId w:val="44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10">
    <w:nsid w:val="6F6A06D9"/>
    <w:multiLevelType w:val="multilevel"/>
    <w:tmpl w:val="6F6A06D9"/>
    <w:lvl w:ilvl="0" w:tentative="0">
      <w:start w:val="1"/>
      <w:numFmt w:val="bullet"/>
      <w:lvlText w:val=""/>
      <w:lvlPicBulletId w:val="81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PicBulletId w:val="82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PicBulletId w:val="83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PicBulletId w:val="84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PicBulletId w:val="85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PicBulletId w:val="86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PicBulletId w:val="87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PicBulletId w:val="88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PicBulletId w:val="89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abstractNum w:abstractNumId="11">
    <w:nsid w:val="71D70530"/>
    <w:multiLevelType w:val="multilevel"/>
    <w:tmpl w:val="71D70530"/>
    <w:lvl w:ilvl="0" w:tentative="0">
      <w:start w:val="1"/>
      <w:numFmt w:val="bullet"/>
      <w:lvlText w:val=""/>
      <w:lvlPicBulletId w:val="54"/>
      <w:lvlJc w:val="left"/>
      <w:pPr>
        <w:tabs>
          <w:tab w:val="left" w:pos="720"/>
        </w:tabs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"/>
      <w:lvlPicBulletId w:val="55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</w:rPr>
    </w:lvl>
    <w:lvl w:ilvl="2" w:tentative="0">
      <w:start w:val="1"/>
      <w:numFmt w:val="bullet"/>
      <w:lvlText w:val=""/>
      <w:lvlPicBulletId w:val="56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</w:rPr>
    </w:lvl>
    <w:lvl w:ilvl="3" w:tentative="0">
      <w:start w:val="1"/>
      <w:numFmt w:val="bullet"/>
      <w:lvlText w:val=""/>
      <w:lvlPicBulletId w:val="57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"/>
      <w:lvlPicBulletId w:val="58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</w:rPr>
    </w:lvl>
    <w:lvl w:ilvl="5" w:tentative="0">
      <w:start w:val="1"/>
      <w:numFmt w:val="bullet"/>
      <w:lvlText w:val=""/>
      <w:lvlPicBulletId w:val="59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</w:rPr>
    </w:lvl>
    <w:lvl w:ilvl="6" w:tentative="0">
      <w:start w:val="1"/>
      <w:numFmt w:val="bullet"/>
      <w:lvlText w:val=""/>
      <w:lvlPicBulletId w:val="60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"/>
      <w:lvlPicBulletId w:val="61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</w:rPr>
    </w:lvl>
    <w:lvl w:ilvl="8" w:tentative="0">
      <w:start w:val="1"/>
      <w:numFmt w:val="bullet"/>
      <w:lvlText w:val=""/>
      <w:lvlPicBulletId w:val="62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</w:rPr>
    </w:lvl>
  </w:abstractNum>
  <w:num w:numId="1">
    <w:abstractNumId w:val="0"/>
  </w:num>
  <w:num w:numId="2">
    <w:abstractNumId w:val="8"/>
  </w:num>
  <w:num w:numId="3">
    <w:abstractNumId w:val="4"/>
  </w:num>
  <w:num w:numId="4">
    <w:abstractNumId w:val="1"/>
  </w:num>
  <w:num w:numId="5">
    <w:abstractNumId w:val="6"/>
  </w:num>
  <w:num w:numId="6">
    <w:abstractNumId w:val="9"/>
  </w:num>
  <w:num w:numId="7">
    <w:abstractNumId w:val="5"/>
  </w:num>
  <w:num w:numId="8">
    <w:abstractNumId w:val="11"/>
  </w:num>
  <w:num w:numId="9">
    <w:abstractNumId w:val="3"/>
  </w:num>
  <w:num w:numId="10">
    <w:abstractNumId w:val="7"/>
  </w:num>
  <w:num w:numId="11">
    <w:abstractNumId w:val="10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713C0A"/>
    <w:rsid w:val="03355FCC"/>
    <w:rsid w:val="0A284F3E"/>
    <w:rsid w:val="0E0B51F0"/>
    <w:rsid w:val="0F4727DF"/>
    <w:rsid w:val="1FA518C4"/>
    <w:rsid w:val="207C6C1A"/>
    <w:rsid w:val="24651D2B"/>
    <w:rsid w:val="2D9D398C"/>
    <w:rsid w:val="403B6CED"/>
    <w:rsid w:val="42AF750B"/>
    <w:rsid w:val="461962C1"/>
    <w:rsid w:val="520C47E6"/>
    <w:rsid w:val="53713C0A"/>
    <w:rsid w:val="5A1F0052"/>
    <w:rsid w:val="6388044A"/>
    <w:rsid w:val="6875593A"/>
    <w:rsid w:val="70C71292"/>
    <w:rsid w:val="775C0DD6"/>
    <w:rsid w:val="7BD87885"/>
    <w:rsid w:val="7C013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center"/>
      <w:outlineLvl w:val="0"/>
    </w:pPr>
    <w:rPr>
      <w:rFonts w:asciiTheme="minorAscii" w:hAnsiTheme="minorAscii"/>
      <w:b/>
      <w:kern w:val="44"/>
      <w:sz w:val="44"/>
      <w:szCs w:val="22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90" Type="http://schemas.openxmlformats.org/officeDocument/2006/relationships/image" Target="media/image90.emf"/><Relationship Id="rId9" Type="http://schemas.openxmlformats.org/officeDocument/2006/relationships/image" Target="media/image9.emf"/><Relationship Id="rId89" Type="http://schemas.openxmlformats.org/officeDocument/2006/relationships/image" Target="media/image89.emf"/><Relationship Id="rId88" Type="http://schemas.openxmlformats.org/officeDocument/2006/relationships/image" Target="media/image88.emf"/><Relationship Id="rId87" Type="http://schemas.openxmlformats.org/officeDocument/2006/relationships/image" Target="media/image87.emf"/><Relationship Id="rId86" Type="http://schemas.openxmlformats.org/officeDocument/2006/relationships/image" Target="media/image86.emf"/><Relationship Id="rId85" Type="http://schemas.openxmlformats.org/officeDocument/2006/relationships/image" Target="media/image85.emf"/><Relationship Id="rId84" Type="http://schemas.openxmlformats.org/officeDocument/2006/relationships/image" Target="media/image84.emf"/><Relationship Id="rId83" Type="http://schemas.openxmlformats.org/officeDocument/2006/relationships/image" Target="media/image83.emf"/><Relationship Id="rId82" Type="http://schemas.openxmlformats.org/officeDocument/2006/relationships/image" Target="media/image82.emf"/><Relationship Id="rId81" Type="http://schemas.openxmlformats.org/officeDocument/2006/relationships/image" Target="media/image81.emf"/><Relationship Id="rId80" Type="http://schemas.openxmlformats.org/officeDocument/2006/relationships/image" Target="media/image80.emf"/><Relationship Id="rId8" Type="http://schemas.openxmlformats.org/officeDocument/2006/relationships/image" Target="media/image8.emf"/><Relationship Id="rId79" Type="http://schemas.openxmlformats.org/officeDocument/2006/relationships/image" Target="media/image79.emf"/><Relationship Id="rId78" Type="http://schemas.openxmlformats.org/officeDocument/2006/relationships/image" Target="media/image78.emf"/><Relationship Id="rId77" Type="http://schemas.openxmlformats.org/officeDocument/2006/relationships/image" Target="media/image77.emf"/><Relationship Id="rId76" Type="http://schemas.openxmlformats.org/officeDocument/2006/relationships/image" Target="media/image76.emf"/><Relationship Id="rId75" Type="http://schemas.openxmlformats.org/officeDocument/2006/relationships/image" Target="media/image75.emf"/><Relationship Id="rId74" Type="http://schemas.openxmlformats.org/officeDocument/2006/relationships/image" Target="media/image74.emf"/><Relationship Id="rId73" Type="http://schemas.openxmlformats.org/officeDocument/2006/relationships/image" Target="media/image73.emf"/><Relationship Id="rId72" Type="http://schemas.openxmlformats.org/officeDocument/2006/relationships/image" Target="media/image72.emf"/><Relationship Id="rId71" Type="http://schemas.openxmlformats.org/officeDocument/2006/relationships/image" Target="media/image71.emf"/><Relationship Id="rId70" Type="http://schemas.openxmlformats.org/officeDocument/2006/relationships/image" Target="media/image70.emf"/><Relationship Id="rId7" Type="http://schemas.openxmlformats.org/officeDocument/2006/relationships/image" Target="media/image7.emf"/><Relationship Id="rId69" Type="http://schemas.openxmlformats.org/officeDocument/2006/relationships/image" Target="media/image69.emf"/><Relationship Id="rId68" Type="http://schemas.openxmlformats.org/officeDocument/2006/relationships/image" Target="media/image68.emf"/><Relationship Id="rId67" Type="http://schemas.openxmlformats.org/officeDocument/2006/relationships/image" Target="media/image67.emf"/><Relationship Id="rId66" Type="http://schemas.openxmlformats.org/officeDocument/2006/relationships/image" Target="media/image66.emf"/><Relationship Id="rId65" Type="http://schemas.openxmlformats.org/officeDocument/2006/relationships/image" Target="media/image65.emf"/><Relationship Id="rId64" Type="http://schemas.openxmlformats.org/officeDocument/2006/relationships/image" Target="media/image64.emf"/><Relationship Id="rId63" Type="http://schemas.openxmlformats.org/officeDocument/2006/relationships/image" Target="media/image63.emf"/><Relationship Id="rId62" Type="http://schemas.openxmlformats.org/officeDocument/2006/relationships/image" Target="media/image62.emf"/><Relationship Id="rId61" Type="http://schemas.openxmlformats.org/officeDocument/2006/relationships/image" Target="media/image61.emf"/><Relationship Id="rId60" Type="http://schemas.openxmlformats.org/officeDocument/2006/relationships/image" Target="media/image60.emf"/><Relationship Id="rId6" Type="http://schemas.openxmlformats.org/officeDocument/2006/relationships/image" Target="media/image6.emf"/><Relationship Id="rId59" Type="http://schemas.openxmlformats.org/officeDocument/2006/relationships/image" Target="media/image59.emf"/><Relationship Id="rId58" Type="http://schemas.openxmlformats.org/officeDocument/2006/relationships/image" Target="media/image58.emf"/><Relationship Id="rId57" Type="http://schemas.openxmlformats.org/officeDocument/2006/relationships/image" Target="media/image57.emf"/><Relationship Id="rId56" Type="http://schemas.openxmlformats.org/officeDocument/2006/relationships/image" Target="media/image56.emf"/><Relationship Id="rId55" Type="http://schemas.openxmlformats.org/officeDocument/2006/relationships/image" Target="media/image55.emf"/><Relationship Id="rId54" Type="http://schemas.openxmlformats.org/officeDocument/2006/relationships/image" Target="media/image54.emf"/><Relationship Id="rId53" Type="http://schemas.openxmlformats.org/officeDocument/2006/relationships/image" Target="media/image53.emf"/><Relationship Id="rId52" Type="http://schemas.openxmlformats.org/officeDocument/2006/relationships/image" Target="media/image52.emf"/><Relationship Id="rId51" Type="http://schemas.openxmlformats.org/officeDocument/2006/relationships/image" Target="media/image51.emf"/><Relationship Id="rId50" Type="http://schemas.openxmlformats.org/officeDocument/2006/relationships/image" Target="media/image50.emf"/><Relationship Id="rId5" Type="http://schemas.openxmlformats.org/officeDocument/2006/relationships/image" Target="media/image5.emf"/><Relationship Id="rId49" Type="http://schemas.openxmlformats.org/officeDocument/2006/relationships/image" Target="media/image49.emf"/><Relationship Id="rId48" Type="http://schemas.openxmlformats.org/officeDocument/2006/relationships/image" Target="media/image48.emf"/><Relationship Id="rId47" Type="http://schemas.openxmlformats.org/officeDocument/2006/relationships/image" Target="media/image47.emf"/><Relationship Id="rId46" Type="http://schemas.openxmlformats.org/officeDocument/2006/relationships/image" Target="media/image46.emf"/><Relationship Id="rId45" Type="http://schemas.openxmlformats.org/officeDocument/2006/relationships/image" Target="media/image45.emf"/><Relationship Id="rId44" Type="http://schemas.openxmlformats.org/officeDocument/2006/relationships/image" Target="media/image44.emf"/><Relationship Id="rId43" Type="http://schemas.openxmlformats.org/officeDocument/2006/relationships/image" Target="media/image43.emf"/><Relationship Id="rId42" Type="http://schemas.openxmlformats.org/officeDocument/2006/relationships/image" Target="media/image42.emf"/><Relationship Id="rId41" Type="http://schemas.openxmlformats.org/officeDocument/2006/relationships/image" Target="media/image41.emf"/><Relationship Id="rId40" Type="http://schemas.openxmlformats.org/officeDocument/2006/relationships/image" Target="media/image40.emf"/><Relationship Id="rId4" Type="http://schemas.openxmlformats.org/officeDocument/2006/relationships/image" Target="media/image4.emf"/><Relationship Id="rId39" Type="http://schemas.openxmlformats.org/officeDocument/2006/relationships/image" Target="media/image39.emf"/><Relationship Id="rId38" Type="http://schemas.openxmlformats.org/officeDocument/2006/relationships/image" Target="media/image38.emf"/><Relationship Id="rId37" Type="http://schemas.openxmlformats.org/officeDocument/2006/relationships/image" Target="media/image37.emf"/><Relationship Id="rId36" Type="http://schemas.openxmlformats.org/officeDocument/2006/relationships/image" Target="media/image36.emf"/><Relationship Id="rId35" Type="http://schemas.openxmlformats.org/officeDocument/2006/relationships/image" Target="media/image35.emf"/><Relationship Id="rId34" Type="http://schemas.openxmlformats.org/officeDocument/2006/relationships/image" Target="media/image34.emf"/><Relationship Id="rId33" Type="http://schemas.openxmlformats.org/officeDocument/2006/relationships/image" Target="media/image33.emf"/><Relationship Id="rId32" Type="http://schemas.openxmlformats.org/officeDocument/2006/relationships/image" Target="media/image32.emf"/><Relationship Id="rId31" Type="http://schemas.openxmlformats.org/officeDocument/2006/relationships/image" Target="media/image31.emf"/><Relationship Id="rId30" Type="http://schemas.openxmlformats.org/officeDocument/2006/relationships/image" Target="media/image30.emf"/><Relationship Id="rId3" Type="http://schemas.openxmlformats.org/officeDocument/2006/relationships/image" Target="media/image3.emf"/><Relationship Id="rId29" Type="http://schemas.openxmlformats.org/officeDocument/2006/relationships/image" Target="media/image29.emf"/><Relationship Id="rId28" Type="http://schemas.openxmlformats.org/officeDocument/2006/relationships/image" Target="media/image28.emf"/><Relationship Id="rId27" Type="http://schemas.openxmlformats.org/officeDocument/2006/relationships/image" Target="media/image27.emf"/><Relationship Id="rId26" Type="http://schemas.openxmlformats.org/officeDocument/2006/relationships/image" Target="media/image26.emf"/><Relationship Id="rId25" Type="http://schemas.openxmlformats.org/officeDocument/2006/relationships/image" Target="media/image25.emf"/><Relationship Id="rId24" Type="http://schemas.openxmlformats.org/officeDocument/2006/relationships/image" Target="media/image24.emf"/><Relationship Id="rId23" Type="http://schemas.openxmlformats.org/officeDocument/2006/relationships/image" Target="media/image23.emf"/><Relationship Id="rId22" Type="http://schemas.openxmlformats.org/officeDocument/2006/relationships/image" Target="media/image22.emf"/><Relationship Id="rId21" Type="http://schemas.openxmlformats.org/officeDocument/2006/relationships/image" Target="media/image21.emf"/><Relationship Id="rId20" Type="http://schemas.openxmlformats.org/officeDocument/2006/relationships/image" Target="media/image20.emf"/><Relationship Id="rId2" Type="http://schemas.openxmlformats.org/officeDocument/2006/relationships/image" Target="media/image2.emf"/><Relationship Id="rId19" Type="http://schemas.openxmlformats.org/officeDocument/2006/relationships/image" Target="media/image19.emf"/><Relationship Id="rId18" Type="http://schemas.openxmlformats.org/officeDocument/2006/relationships/image" Target="media/image18.emf"/><Relationship Id="rId17" Type="http://schemas.openxmlformats.org/officeDocument/2006/relationships/image" Target="media/image17.emf"/><Relationship Id="rId16" Type="http://schemas.openxmlformats.org/officeDocument/2006/relationships/image" Target="media/image16.emf"/><Relationship Id="rId15" Type="http://schemas.openxmlformats.org/officeDocument/2006/relationships/image" Target="media/image15.emf"/><Relationship Id="rId14" Type="http://schemas.openxmlformats.org/officeDocument/2006/relationships/image" Target="media/image14.emf"/><Relationship Id="rId13" Type="http://schemas.openxmlformats.org/officeDocument/2006/relationships/image" Target="media/image13.emf"/><Relationship Id="rId12" Type="http://schemas.openxmlformats.org/officeDocument/2006/relationships/image" Target="media/image12.emf"/><Relationship Id="rId11" Type="http://schemas.openxmlformats.org/officeDocument/2006/relationships/image" Target="media/image11.emf"/><Relationship Id="rId10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2019-04-01T00:50:00Z</dcterms:created>
  <dc:creator>张宪彬:海伦哲</dc:creator>
  <cp:lastModifiedBy>唐文亭</cp:lastModifiedBy>
  <dcterms:modified xsi:type="dcterms:W3CDTF">2019-06-18T02:02:52Z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</Properties>
</file>